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r>
        <w:rPr>
          <w:rFonts w:ascii="Calibri" w:cs="Calibri" w:eastAsia="Calibri" w:hAnsi="Calibri"/>
          <w:b/>
          <w:bCs/>
          <w:caps/>
          <w:color w:val="9C7A3C"/>
          <w:spacing w:val="20"/>
          <w:sz w:val="18"/>
          <w:szCs w:val="18"/>
        </w:rPr>
        <w:t xml:space="preserve">FALAH OS™ — TECHNICAL WHITEPAPER SERIES, VOL. III</w:t>
      </w:r>
    </w:p>
    <w:p>
      <w:pPr>
        <w:spacing w:after="200" w:before="600"/>
      </w:pPr>
      <w:r>
        <w:rPr>
          <w:rFonts w:ascii="Georgia" w:cs="Georgia" w:eastAsia="Georgia" w:hAnsi="Georgia"/>
          <w:b/>
          <w:bCs/>
          <w:color w:val="0B0E14"/>
          <w:sz w:val="64"/>
          <w:szCs w:val="64"/>
        </w:rPr>
        <w:t xml:space="preserve">The Waqif Mechanism</w:t>
      </w:r>
    </w:p>
    <w:p>
      <w:pPr>
        <w:spacing w:after="500"/>
      </w:pPr>
      <w:r>
        <w:rPr>
          <w:rFonts w:ascii="Georgia" w:cs="Georgia" w:eastAsia="Georgia" w:hAnsi="Georgia"/>
          <w:i/>
          <w:iCs/>
          <w:color w:val="5A5F6B"/>
          <w:sz w:val="30"/>
          <w:szCs w:val="30"/>
        </w:rPr>
        <w:t xml:space="preserve">A Protocol-Layer Architecture for Perpetual, Irrevocable Digital Endowment</w:t>
      </w:r>
    </w:p>
    <w:p>
      <w:pPr>
        <w:pBdr>
          <w:bottom w:val="single" w:color="C9CCD3" w:sz="4"/>
        </w:pBdr>
        <w:spacing w:after="200"/>
      </w:pPr>
    </w:p>
    <w:p>
      <w:pPr>
        <w:spacing w:before="300"/>
      </w:pPr>
      <w:r>
        <w:rPr>
          <w:rFonts w:ascii="Calibri" w:cs="Calibri" w:eastAsia="Calibri" w:hAnsi="Calibri"/>
          <w:color w:val="2B2F38"/>
          <w:sz w:val="22"/>
          <w:szCs w:val="22"/>
        </w:rPr>
        <w:t xml:space="preserve">Tokenising the arkān al-waqf — founder, asset, beneficiary, and declaration — as a compliance-gated primitive of the Falah OS protocol stack.</w:t>
      </w:r>
    </w:p>
    <w:p>
      <w:pPr>
        <w:spacing w:before="1200"/>
      </w:pPr>
      <w:r>
        <w:rPr>
          <w:rFonts w:ascii="Calibri" w:cs="Calibri" w:eastAsia="Calibri" w:hAnsi="Calibri"/>
          <w:color w:val="5A5F6B"/>
          <w:sz w:val="19"/>
          <w:szCs w:val="19"/>
        </w:rPr>
        <w:t xml:space="preserve">Falah OS™ · falahos.com</w:t>
      </w:r>
    </w:p>
    <w:p>
      <w:r>
        <w:rPr>
          <w:rFonts w:ascii="Calibri" w:cs="Calibri" w:eastAsia="Calibri" w:hAnsi="Calibri"/>
          <w:color w:val="5A5F6B"/>
          <w:sz w:val="19"/>
          <w:szCs w:val="19"/>
        </w:rPr>
        <w:t xml:space="preserve">August 2026 · Draft for Shariah and Technical Review</w:t>
      </w:r>
    </w:p>
    <w:p>
      <w:r>
        <w:br w:type="page"/>
      </w:r>
    </w:p>
    <w:p>
      <w:pPr>
        <w:sectPr>
          <w:pgSz w:w="12240" w:h="15840" w:orient="portrait"/>
          <w:pgMar w:top="1440" w:right="1440" w:bottom="1440" w:left="1440" w:header="708" w:footer="708" w:gutter="0"/>
          <w:pgNumType/>
          <w:docGrid w:linePitch="360"/>
        </w:sectPr>
      </w:pPr>
    </w:p>
    <w:p>
      <w:pPr>
        <w:pStyle w:val="Heading1"/>
        <w:spacing w:after="200" w:before="480"/>
      </w:pPr>
      <w:r>
        <w:rPr>
          <w:rFonts w:ascii="Georgia" w:cs="Georgia" w:eastAsia="Georgia" w:hAnsi="Georgia"/>
          <w:b/>
          <w:bCs/>
          <w:color w:val="0B0E14"/>
          <w:sz w:val="28"/>
          <w:szCs w:val="28"/>
        </w:rPr>
        <w:t xml:space="preserve">Abstract</w:t>
      </w:r>
    </w:p>
    <w:p>
      <w:pPr>
        <w:spacing w:after="160" w:line="288"/>
        <w:jc w:val="both"/>
      </w:pPr>
      <w:r>
        <w:rPr>
          <w:rFonts w:ascii="Calibri" w:cs="Calibri" w:eastAsia="Calibri" w:hAnsi="Calibri"/>
          <w:color w:val="1A1D24"/>
          <w:sz w:val="21"/>
          <w:szCs w:val="21"/>
        </w:rPr>
        <w:t xml:space="preserve">Waqf — the Islamic institution of perpetual charitable endowment — represents an estimated USD 1 trillion in global assets, the majority of which sits administratively idle. The cause is not a shortage of assets but a shortage of infrastructure: waqf's foundational protections (perpetuity, inalienability, irrevocability) were designed for a world of physical deeds and local custodianship, not fractional ownership, cross-border donors, or real-time audit. This paper specifies the Waqif Mechanism, a protocol-layer module of Falah OS that renders each of the four arkān al-waqf — the founder (wāqif), the endowed asset (mawqūf), the beneficiary (mawqūf ʿalayh), and the declaration (ṣīghah) — as a distinct, independently verifiable object on Falah OS's Core Ledger, gated at every step by the RAMZ compliance engine. The result is not a cryptocurrency product; it is closer to a title registry with a smart-contract notary attached — a way to make an eight-hundred-year-old legal instrument operable at internet speed without altering what makes it a waqf.</w:t>
      </w:r>
    </w:p>
    <w:p>
      <w:pPr>
        <w:pStyle w:val="Heading1"/>
        <w:spacing w:after="200" w:before="480"/>
      </w:pPr>
      <w:r>
        <w:rPr>
          <w:rFonts w:ascii="Georgia" w:cs="Georgia" w:eastAsia="Georgia" w:hAnsi="Georgia"/>
          <w:b/>
          <w:bCs/>
          <w:color w:val="0B0E14"/>
          <w:sz w:val="28"/>
          <w:szCs w:val="28"/>
        </w:rPr>
        <w:t xml:space="preserve">1. Introduction</w:t>
      </w:r>
    </w:p>
    <w:p>
      <w:pPr>
        <w:spacing w:after="160" w:line="288"/>
        <w:jc w:val="both"/>
      </w:pPr>
      <w:r>
        <w:rPr>
          <w:rFonts w:ascii="Calibri" w:cs="Calibri" w:eastAsia="Calibri" w:hAnsi="Calibri"/>
          <w:color w:val="1A1D24"/>
          <w:sz w:val="21"/>
          <w:szCs w:val="21"/>
        </w:rPr>
        <w:t xml:space="preserve">The trillion-dollar figure attached to global waqf assets is almost always cited alongside a second, less flattering statistic: the fraction of that endowment actually generating usable return. Multiple systematic reviews place a large share of waqf land and property in a state of legal or administrative limbo — undeveloped, unregistered, or tied up in disputes over succession of nazir (trustee) authority. The asset base is not the constraint. The constraint is that waqf administration has historically depended on a single, often unaccountable custodian, on paper deeds that do not travel across jurisdictions, and on beneficiary distributions that are trusted rather than verified.</w:t>
      </w:r>
    </w:p>
    <w:p>
      <w:pPr>
        <w:spacing w:after="160" w:line="288"/>
        <w:jc w:val="both"/>
      </w:pPr>
      <w:r>
        <w:rPr>
          <w:rFonts w:ascii="Calibri" w:cs="Calibri" w:eastAsia="Calibri" w:hAnsi="Calibri"/>
          <w:color w:val="1A1D24"/>
          <w:sz w:val="21"/>
          <w:szCs w:val="21"/>
        </w:rPr>
        <w:t xml:space="preserve">Falah OS treats this as an infrastructure problem before it is a financial-product problem. In the same way the Faraid module of Falah OS turns Islamic inheritance distribution into a rules-encoded ledger event rather than a manual probate exercise, the Waqif Mechanism turns the formation and governance of a waqf into a sequence of protocol-level actions: identity-verified declaration, asset tokenisation, custodial multi-signature, and automated, auditable distribution of usufruct. Nothing about the underlying fiqh changes. What changes is who can verify it, and how quickly.</w:t>
      </w:r>
    </w:p>
    <w:p>
      <w:pPr>
        <w:pStyle w:val="Heading1"/>
        <w:spacing w:after="200" w:before="480"/>
      </w:pPr>
      <w:r>
        <w:rPr>
          <w:rFonts w:ascii="Georgia" w:cs="Georgia" w:eastAsia="Georgia" w:hAnsi="Georgia"/>
          <w:b/>
          <w:bCs/>
          <w:color w:val="0B0E14"/>
          <w:sz w:val="28"/>
          <w:szCs w:val="28"/>
        </w:rPr>
        <w:t xml:space="preserve">2. The Legal Architecture of Waqf</w:t>
      </w:r>
    </w:p>
    <w:p>
      <w:pPr>
        <w:spacing w:after="160" w:line="288"/>
        <w:jc w:val="both"/>
      </w:pPr>
      <w:r>
        <w:rPr>
          <w:rFonts w:ascii="Calibri" w:cs="Calibri" w:eastAsia="Calibri" w:hAnsi="Calibri"/>
          <w:color w:val="1A1D24"/>
          <w:sz w:val="21"/>
          <w:szCs w:val="21"/>
        </w:rPr>
        <w:t xml:space="preserve">Classical jurisprudence identifies four arkān (essential pillars) without which a waqf does not validly exist. Any digital rendering of waqf has to preserve all four, not merely automate the parts that are convenient to automate.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3000"/>
      </w:tblGrid>
      <w:tr>
        <w:trPr>
          <w:tblHeader/>
        </w:trPr>
        <w:tc>
          <w:tcPr>
            <w:tcW w:type="dxa" w:w="2400"/>
            <w:shd w:fill="0B0E14" w:color="auto" w:val="clear"/>
            <w:tcMar>
              <w:top w:type="dxa" w:w="100"/>
              <w:left w:type="dxa" w:w="120"/>
              <w:bottom w:type="dxa" w:w="100"/>
              <w:right w:type="dxa" w:w="120"/>
            </w:tcMar>
          </w:tcPr>
          <w:p>
            <w:r>
              <w:rPr>
                <w:rFonts w:ascii="Calibri" w:cs="Calibri" w:eastAsia="Calibri" w:hAnsi="Calibri"/>
                <w:b/>
                <w:bCs/>
                <w:color w:val="FFFFFF"/>
                <w:sz w:val="19"/>
                <w:szCs w:val="19"/>
              </w:rPr>
              <w:t xml:space="preserve">Rukn (Pillar)</w:t>
            </w:r>
          </w:p>
        </w:tc>
        <w:tc>
          <w:tcPr>
            <w:tcW w:type="dxa" w:w="3600"/>
            <w:shd w:fill="0B0E14" w:color="auto" w:val="clear"/>
            <w:tcMar>
              <w:top w:type="dxa" w:w="100"/>
              <w:left w:type="dxa" w:w="120"/>
              <w:bottom w:type="dxa" w:w="100"/>
              <w:right w:type="dxa" w:w="120"/>
            </w:tcMar>
          </w:tcPr>
          <w:p>
            <w:r>
              <w:rPr>
                <w:rFonts w:ascii="Calibri" w:cs="Calibri" w:eastAsia="Calibri" w:hAnsi="Calibri"/>
                <w:b/>
                <w:bCs/>
                <w:color w:val="FFFFFF"/>
                <w:sz w:val="19"/>
                <w:szCs w:val="19"/>
              </w:rPr>
              <w:t xml:space="preserve">Classical Requirement</w:t>
            </w:r>
          </w:p>
        </w:tc>
        <w:tc>
          <w:tcPr>
            <w:tcW w:type="dxa" w:w="3000"/>
            <w:shd w:fill="0B0E14" w:color="auto" w:val="clear"/>
            <w:tcMar>
              <w:top w:type="dxa" w:w="100"/>
              <w:left w:type="dxa" w:w="120"/>
              <w:bottom w:type="dxa" w:w="100"/>
              <w:right w:type="dxa" w:w="120"/>
            </w:tcMar>
          </w:tcPr>
          <w:p>
            <w:r>
              <w:rPr>
                <w:rFonts w:ascii="Calibri" w:cs="Calibri" w:eastAsia="Calibri" w:hAnsi="Calibri"/>
                <w:b/>
                <w:bCs/>
                <w:color w:val="FFFFFF"/>
                <w:sz w:val="19"/>
                <w:szCs w:val="19"/>
              </w:rPr>
              <w:t xml:space="preserve">Failure Mode Today</w:t>
            </w:r>
          </w:p>
        </w:tc>
      </w:tr>
      <w:tr>
        <w:tc>
          <w:tcPr>
            <w:tcW w:type="dxa" w:w="2400"/>
            <w:tcMar>
              <w:top w:type="dxa" w:w="100"/>
              <w:left w:type="dxa" w:w="120"/>
              <w:bottom w:type="dxa" w:w="100"/>
              <w:right w:type="dxa" w:w="120"/>
            </w:tcMar>
          </w:tcPr>
          <w:p>
            <w:r>
              <w:rPr>
                <w:rFonts w:ascii="Calibri" w:cs="Calibri" w:eastAsia="Calibri" w:hAnsi="Calibri"/>
                <w:b w:val="false"/>
                <w:bCs w:val="false"/>
                <w:color w:val="1A1D24"/>
                <w:sz w:val="19"/>
                <w:szCs w:val="19"/>
              </w:rPr>
              <w:t xml:space="preserve">Al-Wāqif (Founder)</w:t>
            </w:r>
          </w:p>
        </w:tc>
        <w:tc>
          <w:tcPr>
            <w:tcW w:type="dxa" w:w="3600"/>
            <w:tcMar>
              <w:top w:type="dxa" w:w="100"/>
              <w:left w:type="dxa" w:w="120"/>
              <w:bottom w:type="dxa" w:w="100"/>
              <w:right w:type="dxa" w:w="120"/>
            </w:tcMar>
          </w:tcPr>
          <w:p>
            <w:r>
              <w:rPr>
                <w:rFonts w:ascii="Calibri" w:cs="Calibri" w:eastAsia="Calibri" w:hAnsi="Calibri"/>
                <w:b w:val="false"/>
                <w:bCs w:val="false"/>
                <w:color w:val="1A1D24"/>
                <w:sz w:val="19"/>
                <w:szCs w:val="19"/>
              </w:rPr>
              <w:t xml:space="preserve">Adult, sound of mind, sole legal owner of the asset, acting without duress.</w:t>
            </w:r>
          </w:p>
        </w:tc>
        <w:tc>
          <w:tcPr>
            <w:tcW w:type="dxa" w:w="3000"/>
            <w:tcMar>
              <w:top w:type="dxa" w:w="100"/>
              <w:left w:type="dxa" w:w="120"/>
              <w:bottom w:type="dxa" w:w="100"/>
              <w:right w:type="dxa" w:w="120"/>
            </w:tcMar>
          </w:tcPr>
          <w:p>
            <w:r>
              <w:rPr>
                <w:rFonts w:ascii="Calibri" w:cs="Calibri" w:eastAsia="Calibri" w:hAnsi="Calibri"/>
                <w:b w:val="false"/>
                <w:bCs w:val="false"/>
                <w:color w:val="1A1D24"/>
                <w:sz w:val="19"/>
                <w:szCs w:val="19"/>
              </w:rPr>
              <w:t xml:space="preserve">Capacity and title are asserted on paper; disputed after the founder's death.</w:t>
            </w:r>
          </w:p>
        </w:tc>
      </w:tr>
      <w:tr>
        <w:tc>
          <w:tcPr>
            <w:tcW w:type="dxa" w:w="24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Al-Mawqūf (Asset)</w:t>
            </w:r>
          </w:p>
        </w:tc>
        <w:tc>
          <w:tcPr>
            <w:tcW w:type="dxa" w:w="36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Specific, valuable, deliverable property capable of generating continuous usufruct (manfaʿah).</w:t>
            </w:r>
          </w:p>
        </w:tc>
        <w:tc>
          <w:tcPr>
            <w:tcW w:type="dxa" w:w="30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Illiquid, undocumented, or fractionally impossible to divide among modern beneficiaries.</w:t>
            </w:r>
          </w:p>
        </w:tc>
      </w:tr>
      <w:tr>
        <w:tc>
          <w:tcPr>
            <w:tcW w:type="dxa" w:w="2400"/>
            <w:tcMar>
              <w:top w:type="dxa" w:w="100"/>
              <w:left w:type="dxa" w:w="120"/>
              <w:bottom w:type="dxa" w:w="100"/>
              <w:right w:type="dxa" w:w="120"/>
            </w:tcMar>
          </w:tcPr>
          <w:p>
            <w:r>
              <w:rPr>
                <w:rFonts w:ascii="Calibri" w:cs="Calibri" w:eastAsia="Calibri" w:hAnsi="Calibri"/>
                <w:b w:val="false"/>
                <w:bCs w:val="false"/>
                <w:color w:val="1A1D24"/>
                <w:sz w:val="19"/>
                <w:szCs w:val="19"/>
              </w:rPr>
              <w:t xml:space="preserve">Al-Mawqūf ʿAlayh (Beneficiary)</w:t>
            </w:r>
          </w:p>
        </w:tc>
        <w:tc>
          <w:tcPr>
            <w:tcW w:type="dxa" w:w="3600"/>
            <w:tcMar>
              <w:top w:type="dxa" w:w="100"/>
              <w:left w:type="dxa" w:w="120"/>
              <w:bottom w:type="dxa" w:w="100"/>
              <w:right w:type="dxa" w:w="120"/>
            </w:tcMar>
          </w:tcPr>
          <w:p>
            <w:r>
              <w:rPr>
                <w:rFonts w:ascii="Calibri" w:cs="Calibri" w:eastAsia="Calibri" w:hAnsi="Calibri"/>
                <w:b w:val="false"/>
                <w:bCs w:val="false"/>
                <w:color w:val="1A1D24"/>
                <w:sz w:val="19"/>
                <w:szCs w:val="19"/>
              </w:rPr>
              <w:t xml:space="preserve">A lawful, identifiable class or entity entitled to the usufruct.</w:t>
            </w:r>
          </w:p>
        </w:tc>
        <w:tc>
          <w:tcPr>
            <w:tcW w:type="dxa" w:w="3000"/>
            <w:tcMar>
              <w:top w:type="dxa" w:w="100"/>
              <w:left w:type="dxa" w:w="120"/>
              <w:bottom w:type="dxa" w:w="100"/>
              <w:right w:type="dxa" w:w="120"/>
            </w:tcMar>
          </w:tcPr>
          <w:p>
            <w:r>
              <w:rPr>
                <w:rFonts w:ascii="Calibri" w:cs="Calibri" w:eastAsia="Calibri" w:hAnsi="Calibri"/>
                <w:b w:val="false"/>
                <w:bCs w:val="false"/>
                <w:color w:val="1A1D24"/>
                <w:sz w:val="19"/>
                <w:szCs w:val="19"/>
              </w:rPr>
              <w:t xml:space="preserve">Beneficiary classes drift or are unverifiable decades after founding.</w:t>
            </w:r>
          </w:p>
        </w:tc>
      </w:tr>
      <w:tr>
        <w:tc>
          <w:tcPr>
            <w:tcW w:type="dxa" w:w="24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Al-Ṣīghah (Declaration)</w:t>
            </w:r>
          </w:p>
        </w:tc>
        <w:tc>
          <w:tcPr>
            <w:tcW w:type="dxa" w:w="36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An unambiguous statement of intent (ījāb) establishing the endowment as perpetual and irrevocable.</w:t>
            </w:r>
          </w:p>
        </w:tc>
        <w:tc>
          <w:tcPr>
            <w:tcW w:type="dxa" w:w="30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A single physical deed, easily lost, forged, or contested.</w:t>
            </w:r>
          </w:p>
        </w:tc>
      </w:tr>
    </w:tbl>
    <w:p>
      <w:pPr>
        <w:spacing w:after="160" w:line="288"/>
        <w:jc w:val="both"/>
      </w:pPr>
      <w:r>
        <w:rPr>
          <w:rFonts w:ascii="Calibri" w:cs="Calibri" w:eastAsia="Calibri" w:hAnsi="Calibri"/>
          <w:color w:val="1A1D24"/>
          <w:sz w:val="21"/>
          <w:szCs w:val="21"/>
        </w:rPr>
        <w:t xml:space="preserve"/>
      </w:r>
    </w:p>
    <w:p>
      <w:pPr>
        <w:spacing w:after="160" w:line="288"/>
        <w:jc w:val="both"/>
      </w:pPr>
      <w:r>
        <w:rPr>
          <w:rFonts w:ascii="Calibri" w:cs="Calibri" w:eastAsia="Calibri" w:hAnsi="Calibri"/>
          <w:color w:val="1A1D24"/>
          <w:sz w:val="21"/>
          <w:szCs w:val="21"/>
        </w:rPr>
        <w:t xml:space="preserve">Three attributes distinguish waqf from a secular trust and constrain any technical design: perpetuity (the endowment has no end date), inalienability (the underlying asset, the raqabah, can never be sold, gifted, or inherited), and irrevocability (once the ṣīghah is pronounced, the founder cannot retract it). A useful analogy is a one-way valve: value can flow out to beneficiaries indefinitely, but the principal can never flow back to the founder or their heirs. Any digital implementation that allows the founder — or an administrator — to reverse, unwind, or redirect the underlying asset after formation has built something other than a waqf, regardless of what it is called.</w:t>
      </w:r>
    </w:p>
    <w:p>
      <w:pPr>
        <w:pStyle w:val="Heading1"/>
        <w:spacing w:after="200" w:before="480"/>
      </w:pPr>
      <w:r>
        <w:rPr>
          <w:rFonts w:ascii="Georgia" w:cs="Georgia" w:eastAsia="Georgia" w:hAnsi="Georgia"/>
          <w:b/>
          <w:bCs/>
          <w:color w:val="0B0E14"/>
          <w:sz w:val="28"/>
          <w:szCs w:val="28"/>
        </w:rPr>
        <w:t xml:space="preserve">3. Why the Trillion Dollars Sits Idle</w:t>
      </w:r>
    </w:p>
    <w:p>
      <w:pPr>
        <w:spacing w:after="160" w:line="288"/>
        <w:jc w:val="both"/>
      </w:pPr>
      <w:r>
        <w:rPr>
          <w:rFonts w:ascii="Calibri" w:cs="Calibri" w:eastAsia="Calibri" w:hAnsi="Calibri"/>
          <w:color w:val="1A1D24"/>
          <w:sz w:val="21"/>
          <w:szCs w:val="21"/>
        </w:rPr>
        <w:t xml:space="preserve">The economic-history literature on waqf (notably Kuran's 'Long Divergence' thesis) argues that the same inalienability that protected endowed assets from confiscation for centuries also froze them out of reallocation, producing chronic illiquidity. Layered on top of that structural rigidity is a governance problem: the nazir (mutawallī) is typically a single administrator or committee with limited external audit, creating an information asymmetry between founder intent, actual asset use, and what beneficiaries receive. The twentieth-century response in several jurisdictions was either abolition or state centralisation of waqf administration — solving the agency problem by removing founder and beneficiary agency altogether.</w:t>
      </w:r>
    </w:p>
    <w:p>
      <w:pPr>
        <w:pStyle w:val="ListParagraph"/>
        <w:numPr>
          <w:ilvl w:val="0"/>
          <w:numId w:val="2"/>
        </w:numPr>
        <w:spacing w:after="90"/>
      </w:pPr>
      <w:r>
        <w:rPr>
          <w:rFonts w:ascii="Calibri" w:cs="Calibri" w:eastAsia="Calibri" w:hAnsi="Calibri"/>
          <w:b/>
          <w:bCs/>
          <w:color w:val="0B0E14"/>
          <w:sz w:val="21"/>
          <w:szCs w:val="21"/>
        </w:rPr>
        <w:t xml:space="preserve">Title fragmentation</w:t>
      </w:r>
      <w:r>
        <w:rPr>
          <w:rFonts w:ascii="Calibri" w:cs="Calibri" w:eastAsia="Calibri" w:hAnsi="Calibri"/>
          <w:color w:val="1A1D24"/>
          <w:sz w:val="21"/>
          <w:szCs w:val="21"/>
        </w:rPr>
        <w:t xml:space="preserve"> — A registry problem — waqf land records are often paper-based, state-fragmented, and not cross-referenced with national property databases.</w:t>
      </w:r>
    </w:p>
    <w:p>
      <w:pPr>
        <w:pStyle w:val="ListParagraph"/>
        <w:numPr>
          <w:ilvl w:val="0"/>
          <w:numId w:val="2"/>
        </w:numPr>
        <w:spacing w:after="90"/>
      </w:pPr>
      <w:r>
        <w:rPr>
          <w:rFonts w:ascii="Calibri" w:cs="Calibri" w:eastAsia="Calibri" w:hAnsi="Calibri"/>
          <w:b/>
          <w:bCs/>
          <w:color w:val="0B0E14"/>
          <w:sz w:val="21"/>
          <w:szCs w:val="21"/>
        </w:rPr>
        <w:t xml:space="preserve">Custodial opacity</w:t>
      </w:r>
      <w:r>
        <w:rPr>
          <w:rFonts w:ascii="Calibri" w:cs="Calibri" w:eastAsia="Calibri" w:hAnsi="Calibri"/>
          <w:color w:val="1A1D24"/>
          <w:sz w:val="21"/>
          <w:szCs w:val="21"/>
        </w:rPr>
        <w:t xml:space="preserve"> — A single point of failure in the nazir role, with no real-time visibility for beneficiaries or regulators into fund use.</w:t>
      </w:r>
    </w:p>
    <w:p>
      <w:pPr>
        <w:pStyle w:val="ListParagraph"/>
        <w:numPr>
          <w:ilvl w:val="0"/>
          <w:numId w:val="2"/>
        </w:numPr>
        <w:spacing w:after="90"/>
      </w:pPr>
      <w:r>
        <w:rPr>
          <w:rFonts w:ascii="Calibri" w:cs="Calibri" w:eastAsia="Calibri" w:hAnsi="Calibri"/>
          <w:b/>
          <w:bCs/>
          <w:color w:val="0B0E14"/>
          <w:sz w:val="21"/>
          <w:szCs w:val="21"/>
        </w:rPr>
        <w:t xml:space="preserve">Fractional inaccessibility</w:t>
      </w:r>
      <w:r>
        <w:rPr>
          <w:rFonts w:ascii="Calibri" w:cs="Calibri" w:eastAsia="Calibri" w:hAnsi="Calibri"/>
          <w:color w:val="1A1D24"/>
          <w:sz w:val="21"/>
          <w:szCs w:val="21"/>
        </w:rPr>
        <w:t xml:space="preserve"> — No mechanism to divide a large asset's usufruct among many small beneficiaries without dissolving the underlying inalienable principal.</w:t>
      </w:r>
    </w:p>
    <w:p>
      <w:pPr>
        <w:pStyle w:val="ListParagraph"/>
        <w:numPr>
          <w:ilvl w:val="0"/>
          <w:numId w:val="2"/>
        </w:numPr>
        <w:spacing w:after="90"/>
      </w:pPr>
      <w:r>
        <w:rPr>
          <w:rFonts w:ascii="Calibri" w:cs="Calibri" w:eastAsia="Calibri" w:hAnsi="Calibri"/>
          <w:b/>
          <w:bCs/>
          <w:color w:val="0B0E14"/>
          <w:sz w:val="21"/>
          <w:szCs w:val="21"/>
        </w:rPr>
        <w:t xml:space="preserve">Donor disintermediation</w:t>
      </w:r>
      <w:r>
        <w:rPr>
          <w:rFonts w:ascii="Calibri" w:cs="Calibri" w:eastAsia="Calibri" w:hAnsi="Calibri"/>
          <w:color w:val="1A1D24"/>
          <w:sz w:val="21"/>
          <w:szCs w:val="21"/>
        </w:rPr>
        <w:t xml:space="preserve"> — Younger, diaspora, and cross-border donors have no low-friction way to found or contribute to a waqf that they can verify after the fact.</w:t>
      </w:r>
    </w:p>
    <w:p>
      <w:pPr>
        <w:pStyle w:val="Heading1"/>
        <w:spacing w:after="200" w:before="480"/>
      </w:pPr>
      <w:r>
        <w:rPr>
          <w:rFonts w:ascii="Georgia" w:cs="Georgia" w:eastAsia="Georgia" w:hAnsi="Georgia"/>
          <w:b/>
          <w:bCs/>
          <w:color w:val="0B0E14"/>
          <w:sz w:val="28"/>
          <w:szCs w:val="28"/>
        </w:rPr>
        <w:t xml:space="preserve">4. Prior Art</w:t>
      </w:r>
    </w:p>
    <w:p>
      <w:pPr>
        <w:spacing w:after="160" w:line="288"/>
        <w:jc w:val="both"/>
      </w:pPr>
      <w:r>
        <w:rPr>
          <w:rFonts w:ascii="Calibri" w:cs="Calibri" w:eastAsia="Calibri" w:hAnsi="Calibri"/>
          <w:color w:val="1A1D24"/>
          <w:sz w:val="21"/>
          <w:szCs w:val="21"/>
        </w:rPr>
        <w:t xml:space="preserve">The idea of applying distributed-ledger technology to waqf is not new, and the Waqif Mechanism is best understood as a synthesis and hardening of several independent pilots rather than a first attempt.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2700"/>
        <w:gridCol w:w="2700"/>
      </w:tblGrid>
      <w:tr>
        <w:trPr>
          <w:tblHeader/>
        </w:trPr>
        <w:tc>
          <w:tcPr>
            <w:tcW w:type="dxa" w:w="2000"/>
            <w:shd w:fill="0B0E14" w:color="auto" w:val="clear"/>
            <w:tcMar>
              <w:top w:type="dxa" w:w="100"/>
              <w:left w:type="dxa" w:w="120"/>
              <w:bottom w:type="dxa" w:w="100"/>
              <w:right w:type="dxa" w:w="120"/>
            </w:tcMar>
          </w:tcPr>
          <w:p>
            <w:r>
              <w:rPr>
                <w:rFonts w:ascii="Calibri" w:cs="Calibri" w:eastAsia="Calibri" w:hAnsi="Calibri"/>
                <w:b/>
                <w:bCs/>
                <w:color w:val="FFFFFF"/>
                <w:sz w:val="19"/>
                <w:szCs w:val="19"/>
              </w:rPr>
              <w:t xml:space="preserve">Initiative</w:t>
            </w:r>
          </w:p>
        </w:tc>
        <w:tc>
          <w:tcPr>
            <w:tcW w:type="dxa" w:w="1600"/>
            <w:shd w:fill="0B0E14" w:color="auto" w:val="clear"/>
            <w:tcMar>
              <w:top w:type="dxa" w:w="100"/>
              <w:left w:type="dxa" w:w="120"/>
              <w:bottom w:type="dxa" w:w="100"/>
              <w:right w:type="dxa" w:w="120"/>
            </w:tcMar>
          </w:tcPr>
          <w:p>
            <w:r>
              <w:rPr>
                <w:rFonts w:ascii="Calibri" w:cs="Calibri" w:eastAsia="Calibri" w:hAnsi="Calibri"/>
                <w:b/>
                <w:bCs/>
                <w:color w:val="FFFFFF"/>
                <w:sz w:val="19"/>
                <w:szCs w:val="19"/>
              </w:rPr>
              <w:t xml:space="preserve">Jurisdiction</w:t>
            </w:r>
          </w:p>
        </w:tc>
        <w:tc>
          <w:tcPr>
            <w:tcW w:type="dxa" w:w="2700"/>
            <w:shd w:fill="0B0E14" w:color="auto" w:val="clear"/>
            <w:tcMar>
              <w:top w:type="dxa" w:w="100"/>
              <w:left w:type="dxa" w:w="120"/>
              <w:bottom w:type="dxa" w:w="100"/>
              <w:right w:type="dxa" w:w="120"/>
            </w:tcMar>
          </w:tcPr>
          <w:p>
            <w:r>
              <w:rPr>
                <w:rFonts w:ascii="Calibri" w:cs="Calibri" w:eastAsia="Calibri" w:hAnsi="Calibri"/>
                <w:b/>
                <w:bCs/>
                <w:color w:val="FFFFFF"/>
                <w:sz w:val="19"/>
                <w:szCs w:val="19"/>
              </w:rPr>
              <w:t xml:space="preserve">Core Contribution</w:t>
            </w:r>
          </w:p>
        </w:tc>
        <w:tc>
          <w:tcPr>
            <w:tcW w:type="dxa" w:w="2700"/>
            <w:shd w:fill="0B0E14" w:color="auto" w:val="clear"/>
            <w:tcMar>
              <w:top w:type="dxa" w:w="100"/>
              <w:left w:type="dxa" w:w="120"/>
              <w:bottom w:type="dxa" w:w="100"/>
              <w:right w:type="dxa" w:w="120"/>
            </w:tcMar>
          </w:tcPr>
          <w:p>
            <w:r>
              <w:rPr>
                <w:rFonts w:ascii="Calibri" w:cs="Calibri" w:eastAsia="Calibri" w:hAnsi="Calibri"/>
                <w:b/>
                <w:bCs/>
                <w:color w:val="FFFFFF"/>
                <w:sz w:val="19"/>
                <w:szCs w:val="19"/>
              </w:rPr>
              <w:t xml:space="preserve">Limitation</w:t>
            </w:r>
          </w:p>
        </w:tc>
      </w:tr>
      <w:tr>
        <w:tc>
          <w:tcPr>
            <w:tcW w:type="dxa" w:w="2000"/>
            <w:tcMar>
              <w:top w:type="dxa" w:w="100"/>
              <w:left w:type="dxa" w:w="120"/>
              <w:bottom w:type="dxa" w:w="100"/>
              <w:right w:type="dxa" w:w="120"/>
            </w:tcMar>
          </w:tcPr>
          <w:p>
            <w:r>
              <w:rPr>
                <w:rFonts w:ascii="Calibri" w:cs="Calibri" w:eastAsia="Calibri" w:hAnsi="Calibri"/>
                <w:b w:val="false"/>
                <w:bCs w:val="false"/>
                <w:color w:val="1A1D24"/>
                <w:sz w:val="19"/>
                <w:szCs w:val="19"/>
              </w:rPr>
              <w:t xml:space="preserve">Finterra WaqfChain</w:t>
            </w:r>
          </w:p>
        </w:tc>
        <w:tc>
          <w:tcPr>
            <w:tcW w:type="dxa" w:w="1600"/>
            <w:tcMar>
              <w:top w:type="dxa" w:w="100"/>
              <w:left w:type="dxa" w:w="120"/>
              <w:bottom w:type="dxa" w:w="100"/>
              <w:right w:type="dxa" w:w="120"/>
            </w:tcMar>
          </w:tcPr>
          <w:p>
            <w:r>
              <w:rPr>
                <w:rFonts w:ascii="Calibri" w:cs="Calibri" w:eastAsia="Calibri" w:hAnsi="Calibri"/>
                <w:b w:val="false"/>
                <w:bCs w:val="false"/>
                <w:color w:val="1A1D24"/>
                <w:sz w:val="19"/>
                <w:szCs w:val="19"/>
              </w:rPr>
              <w:t xml:space="preserve">Malaysia / cross-border</w:t>
            </w:r>
          </w:p>
        </w:tc>
        <w:tc>
          <w:tcPr>
            <w:tcW w:type="dxa" w:w="2700"/>
            <w:tcMar>
              <w:top w:type="dxa" w:w="100"/>
              <w:left w:type="dxa" w:w="120"/>
              <w:bottom w:type="dxa" w:w="100"/>
              <w:right w:type="dxa" w:w="120"/>
            </w:tcMar>
          </w:tcPr>
          <w:p>
            <w:r>
              <w:rPr>
                <w:rFonts w:ascii="Calibri" w:cs="Calibri" w:eastAsia="Calibri" w:hAnsi="Calibri"/>
                <w:b w:val="false"/>
                <w:bCs w:val="false"/>
                <w:color w:val="1A1D24"/>
                <w:sz w:val="19"/>
                <w:szCs w:val="19"/>
              </w:rPr>
              <w:t xml:space="preserve">Project-based tokens tied to smart contracts released on completion of due diligence.</w:t>
            </w:r>
          </w:p>
        </w:tc>
        <w:tc>
          <w:tcPr>
            <w:tcW w:type="dxa" w:w="2700"/>
            <w:tcMar>
              <w:top w:type="dxa" w:w="100"/>
              <w:left w:type="dxa" w:w="120"/>
              <w:bottom w:type="dxa" w:w="100"/>
              <w:right w:type="dxa" w:w="120"/>
            </w:tcMar>
          </w:tcPr>
          <w:p>
            <w:r>
              <w:rPr>
                <w:rFonts w:ascii="Calibri" w:cs="Calibri" w:eastAsia="Calibri" w:hAnsi="Calibri"/>
                <w:b w:val="false"/>
                <w:bCs w:val="false"/>
                <w:color w:val="1A1D24"/>
                <w:sz w:val="19"/>
                <w:szCs w:val="19"/>
              </w:rPr>
              <w:t xml:space="preserve">Single-vendor platform; no shared identity or compliance layer across other Islamic-finance products.</w:t>
            </w:r>
          </w:p>
        </w:tc>
      </w:tr>
      <w:tr>
        <w:tc>
          <w:tcPr>
            <w:tcW w:type="dxa" w:w="20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Selangor Waqf Corporation pilot</w:t>
            </w:r>
          </w:p>
        </w:tc>
        <w:tc>
          <w:tcPr>
            <w:tcW w:type="dxa" w:w="16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Malaysia</w:t>
            </w:r>
          </w:p>
        </w:tc>
        <w:tc>
          <w:tcPr>
            <w:tcW w:type="dxa" w:w="27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Tamper-proof ledger for waqf land records, integrated with the state property database.</w:t>
            </w:r>
          </w:p>
        </w:tc>
        <w:tc>
          <w:tcPr>
            <w:tcW w:type="dxa" w:w="27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Registry-only; does not extend to fund distribution or beneficiary verification.</w:t>
            </w:r>
          </w:p>
        </w:tc>
      </w:tr>
      <w:tr>
        <w:tc>
          <w:tcPr>
            <w:tcW w:type="dxa" w:w="2000"/>
            <w:tcMar>
              <w:top w:type="dxa" w:w="100"/>
              <w:left w:type="dxa" w:w="120"/>
              <w:bottom w:type="dxa" w:w="100"/>
              <w:right w:type="dxa" w:w="120"/>
            </w:tcMar>
          </w:tcPr>
          <w:p>
            <w:r>
              <w:rPr>
                <w:rFonts w:ascii="Calibri" w:cs="Calibri" w:eastAsia="Calibri" w:hAnsi="Calibri"/>
                <w:b w:val="false"/>
                <w:bCs w:val="false"/>
                <w:color w:val="1A1D24"/>
                <w:sz w:val="19"/>
                <w:szCs w:val="19"/>
              </w:rPr>
              <w:t xml:space="preserve">Endowment Blockchain Project</w:t>
            </w:r>
          </w:p>
        </w:tc>
        <w:tc>
          <w:tcPr>
            <w:tcW w:type="dxa" w:w="1600"/>
            <w:tcMar>
              <w:top w:type="dxa" w:w="100"/>
              <w:left w:type="dxa" w:w="120"/>
              <w:bottom w:type="dxa" w:w="100"/>
              <w:right w:type="dxa" w:w="120"/>
            </w:tcMar>
          </w:tcPr>
          <w:p>
            <w:r>
              <w:rPr>
                <w:rFonts w:ascii="Calibri" w:cs="Calibri" w:eastAsia="Calibri" w:hAnsi="Calibri"/>
                <w:b w:val="false"/>
                <w:bCs w:val="false"/>
                <w:color w:val="1A1D24"/>
                <w:sz w:val="19"/>
                <w:szCs w:val="19"/>
              </w:rPr>
              <w:t xml:space="preserve">UAE (Dubai)</w:t>
            </w:r>
          </w:p>
        </w:tc>
        <w:tc>
          <w:tcPr>
            <w:tcW w:type="dxa" w:w="2700"/>
            <w:tcMar>
              <w:top w:type="dxa" w:w="100"/>
              <w:left w:type="dxa" w:w="120"/>
              <w:bottom w:type="dxa" w:w="100"/>
              <w:right w:type="dxa" w:w="120"/>
            </w:tcMar>
          </w:tcPr>
          <w:p>
            <w:r>
              <w:rPr>
                <w:rFonts w:ascii="Calibri" w:cs="Calibri" w:eastAsia="Calibri" w:hAnsi="Calibri"/>
                <w:b w:val="false"/>
                <w:bCs w:val="false"/>
                <w:color w:val="1A1D24"/>
                <w:sz w:val="19"/>
                <w:szCs w:val="19"/>
              </w:rPr>
              <w:t xml:space="preserve">Endowment contracts stored on-chain under the Dubai Blockchain Strategy.</w:t>
            </w:r>
          </w:p>
        </w:tc>
        <w:tc>
          <w:tcPr>
            <w:tcW w:type="dxa" w:w="2700"/>
            <w:tcMar>
              <w:top w:type="dxa" w:w="100"/>
              <w:left w:type="dxa" w:w="120"/>
              <w:bottom w:type="dxa" w:w="100"/>
              <w:right w:type="dxa" w:w="120"/>
            </w:tcMar>
          </w:tcPr>
          <w:p>
            <w:r>
              <w:rPr>
                <w:rFonts w:ascii="Calibri" w:cs="Calibri" w:eastAsia="Calibri" w:hAnsi="Calibri"/>
                <w:b w:val="false"/>
                <w:bCs w:val="false"/>
                <w:color w:val="1A1D24"/>
                <w:sz w:val="19"/>
                <w:szCs w:val="19"/>
              </w:rPr>
              <w:t xml:space="preserve">State-specific infrastructure, not portable across madhab or jurisdiction.</w:t>
            </w:r>
          </w:p>
        </w:tc>
      </w:tr>
      <w:tr>
        <w:tc>
          <w:tcPr>
            <w:tcW w:type="dxa" w:w="20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Cash Waqf-Linked Sukuk (CWLS)</w:t>
            </w:r>
          </w:p>
        </w:tc>
        <w:tc>
          <w:tcPr>
            <w:tcW w:type="dxa" w:w="16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Indonesia</w:t>
            </w:r>
          </w:p>
        </w:tc>
        <w:tc>
          <w:tcPr>
            <w:tcW w:type="dxa" w:w="27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Combines cash waqf with sovereign sukuk to fund social infrastructure at scale.</w:t>
            </w:r>
          </w:p>
        </w:tc>
        <w:tc>
          <w:tcPr>
            <w:tcW w:type="dxa" w:w="27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Relies on conventional sukuk settlement rails rather than a shared Islamic-economy protocol.</w:t>
            </w:r>
          </w:p>
        </w:tc>
      </w:tr>
      <w:tr>
        <w:tc>
          <w:tcPr>
            <w:tcW w:type="dxa" w:w="2000"/>
            <w:tcMar>
              <w:top w:type="dxa" w:w="100"/>
              <w:left w:type="dxa" w:w="120"/>
              <w:bottom w:type="dxa" w:w="100"/>
              <w:right w:type="dxa" w:w="120"/>
            </w:tcMar>
          </w:tcPr>
          <w:p>
            <w:r>
              <w:rPr>
                <w:rFonts w:ascii="Calibri" w:cs="Calibri" w:eastAsia="Calibri" w:hAnsi="Calibri"/>
                <w:b w:val="false"/>
                <w:bCs w:val="false"/>
                <w:color w:val="1A1D24"/>
                <w:sz w:val="19"/>
                <w:szCs w:val="19"/>
              </w:rPr>
              <w:t xml:space="preserve">OIC Fiqh Academy Resolution on Tokenisation of Waqf Assets (2021)</w:t>
            </w:r>
          </w:p>
        </w:tc>
        <w:tc>
          <w:tcPr>
            <w:tcW w:type="dxa" w:w="1600"/>
            <w:tcMar>
              <w:top w:type="dxa" w:w="100"/>
              <w:left w:type="dxa" w:w="120"/>
              <w:bottom w:type="dxa" w:w="100"/>
              <w:right w:type="dxa" w:w="120"/>
            </w:tcMar>
          </w:tcPr>
          <w:p>
            <w:r>
              <w:rPr>
                <w:rFonts w:ascii="Calibri" w:cs="Calibri" w:eastAsia="Calibri" w:hAnsi="Calibri"/>
                <w:b w:val="false"/>
                <w:bCs w:val="false"/>
                <w:color w:val="1A1D24"/>
                <w:sz w:val="19"/>
                <w:szCs w:val="19"/>
              </w:rPr>
              <w:t xml:space="preserve">Pan-OIC</w:t>
            </w:r>
          </w:p>
        </w:tc>
        <w:tc>
          <w:tcPr>
            <w:tcW w:type="dxa" w:w="2700"/>
            <w:tcMar>
              <w:top w:type="dxa" w:w="100"/>
              <w:left w:type="dxa" w:w="120"/>
              <w:bottom w:type="dxa" w:w="100"/>
              <w:right w:type="dxa" w:w="120"/>
            </w:tcMar>
          </w:tcPr>
          <w:p>
            <w:r>
              <w:rPr>
                <w:rFonts w:ascii="Calibri" w:cs="Calibri" w:eastAsia="Calibri" w:hAnsi="Calibri"/>
                <w:b w:val="false"/>
                <w:bCs w:val="false"/>
                <w:color w:val="1A1D24"/>
                <w:sz w:val="19"/>
                <w:szCs w:val="19"/>
              </w:rPr>
              <w:t xml:space="preserve">First multilateral fiqh guidance permitting tokenisation of waqf assets under conditions.</w:t>
            </w:r>
          </w:p>
        </w:tc>
        <w:tc>
          <w:tcPr>
            <w:tcW w:type="dxa" w:w="2700"/>
            <w:tcMar>
              <w:top w:type="dxa" w:w="100"/>
              <w:left w:type="dxa" w:w="120"/>
              <w:bottom w:type="dxa" w:w="100"/>
              <w:right w:type="dxa" w:w="120"/>
            </w:tcMar>
          </w:tcPr>
          <w:p>
            <w:r>
              <w:rPr>
                <w:rFonts w:ascii="Calibri" w:cs="Calibri" w:eastAsia="Calibri" w:hAnsi="Calibri"/>
                <w:b w:val="false"/>
                <w:bCs w:val="false"/>
                <w:color w:val="1A1D24"/>
                <w:sz w:val="19"/>
                <w:szCs w:val="19"/>
              </w:rPr>
              <w:t xml:space="preserve">Guidance, not infrastructure — implementation is left to individual platforms.</w:t>
            </w:r>
          </w:p>
        </w:tc>
      </w:tr>
    </w:tbl>
    <w:p>
      <w:pPr>
        <w:spacing w:after="160" w:line="288"/>
        <w:jc w:val="both"/>
      </w:pPr>
      <w:r>
        <w:rPr>
          <w:rFonts w:ascii="Calibri" w:cs="Calibri" w:eastAsia="Calibri" w:hAnsi="Calibri"/>
          <w:color w:val="1A1D24"/>
          <w:sz w:val="21"/>
          <w:szCs w:val="21"/>
        </w:rPr>
        <w:t xml:space="preserve"/>
      </w:r>
    </w:p>
    <w:p>
      <w:pPr>
        <w:spacing w:after="160" w:line="288"/>
        <w:jc w:val="both"/>
      </w:pPr>
      <w:r>
        <w:rPr>
          <w:rFonts w:ascii="Calibri" w:cs="Calibri" w:eastAsia="Calibri" w:hAnsi="Calibri"/>
          <w:color w:val="1A1D24"/>
          <w:sz w:val="21"/>
          <w:szCs w:val="21"/>
        </w:rPr>
        <w:t xml:space="preserve">The pattern across this prior art is consistent: each initiative solves one layer (registry, or distribution, or fiqh permissibility) without a shared identity and compliance substrate underneath it. The Waqif Mechanism's contribution is not a new financial primitive — fractionalised, transparent waqf has been demonstrated — but a shared protocol layer so that a waqf founded through one Falah OS-integrated institution is legible, auditable, and portable to any other.</w:t>
      </w:r>
    </w:p>
    <w:p>
      <w:pPr>
        <w:pStyle w:val="Heading1"/>
        <w:spacing w:after="200" w:before="480"/>
      </w:pPr>
      <w:r>
        <w:rPr>
          <w:rFonts w:ascii="Georgia" w:cs="Georgia" w:eastAsia="Georgia" w:hAnsi="Georgia"/>
          <w:b/>
          <w:bCs/>
          <w:color w:val="0B0E14"/>
          <w:sz w:val="28"/>
          <w:szCs w:val="28"/>
        </w:rPr>
        <w:t xml:space="preserve">5. The Waqif Mechanism: Architecture</w:t>
      </w:r>
    </w:p>
    <w:p>
      <w:pPr>
        <w:spacing w:after="160" w:line="288"/>
        <w:jc w:val="both"/>
      </w:pPr>
      <w:r>
        <w:rPr>
          <w:rFonts w:ascii="Calibri" w:cs="Calibri" w:eastAsia="Calibri" w:hAnsi="Calibri"/>
          <w:color w:val="1A1D24"/>
          <w:sz w:val="21"/>
          <w:szCs w:val="21"/>
        </w:rPr>
        <w:t xml:space="preserve">The Waqif Mechanism maps each rukn of waqf onto a Falah OS protocol component. No single component substitutes for fiqh review; RAMZ enforces conditions that a qualified Shariah board has already configured, in the same way a building code enforces a standard an engineer designed to, rather than replacing the engineer.</w:t>
      </w:r>
    </w:p>
    <w:p>
      <w:pPr>
        <w:pStyle w:val="Heading2"/>
        <w:spacing w:after="120" w:before="280"/>
      </w:pPr>
      <w:r>
        <w:rPr>
          <w:rFonts w:ascii="Georgia" w:cs="Georgia" w:eastAsia="Georgia" w:hAnsi="Georgia"/>
          <w:b/>
          <w:bCs/>
          <w:color w:val="0B0E14"/>
          <w:sz w:val="24"/>
          <w:szCs w:val="24"/>
        </w:rPr>
        <w:t xml:space="preserve">5.1 Ṣīghah as Immutable Declaration</w:t>
      </w:r>
    </w:p>
    <w:p>
      <w:pPr>
        <w:spacing w:after="160" w:line="288"/>
        <w:jc w:val="both"/>
      </w:pPr>
      <w:r>
        <w:rPr>
          <w:rFonts w:ascii="Calibri" w:cs="Calibri" w:eastAsia="Calibri" w:hAnsi="Calibri"/>
          <w:color w:val="1A1D24"/>
          <w:sz w:val="21"/>
          <w:szCs w:val="21"/>
        </w:rPr>
        <w:t xml:space="preserve">The founding declaration is captured as a signed, timestamped, and hash-anchored record on the Core Ledger — the same ledger substrate underlying the Faraid module. Once the founder's cryptographic signature is affixed and RAMZ confirms the ṣīghah meets the configured madhab's linguistic and evidentiary conditions (offer, and, where required, witnessed acceptance), the record becomes append-only. This is the digital equivalent of the classical position that a waqf, once pronounced, cannot be revoked by its founder: the mechanism does not merely record that position, it enforces it — there is no administrative override that returns the asset to the founder's estate.</w:t>
      </w:r>
    </w:p>
    <w:p>
      <w:pPr>
        <w:pStyle w:val="Heading2"/>
        <w:spacing w:after="120" w:before="280"/>
      </w:pPr>
      <w:r>
        <w:rPr>
          <w:rFonts w:ascii="Georgia" w:cs="Georgia" w:eastAsia="Georgia" w:hAnsi="Georgia"/>
          <w:b/>
          <w:bCs/>
          <w:color w:val="0B0E14"/>
          <w:sz w:val="24"/>
          <w:szCs w:val="24"/>
        </w:rPr>
        <w:t xml:space="preserve">5.2 Wāqif Identity and Capacity via Ummah ID</w:t>
      </w:r>
    </w:p>
    <w:p>
      <w:pPr>
        <w:spacing w:after="160" w:line="288"/>
        <w:jc w:val="both"/>
      </w:pPr>
      <w:r>
        <w:rPr>
          <w:rFonts w:ascii="Calibri" w:cs="Calibri" w:eastAsia="Calibri" w:hAnsi="Calibri"/>
          <w:color w:val="1A1D24"/>
          <w:sz w:val="21"/>
          <w:szCs w:val="21"/>
        </w:rPr>
        <w:t xml:space="preserve">Before a ṣīghah can be submitted, Ummah ID — Falah OS's decentralised identity layer — verifies the conditions classical fiqh attaches to the founder: legal adulthood, sound mental capacity, and, critically, sole and undisputed ownership of the asset being endowed at the moment of declaration. Where the asset is real property, Ummah ID cross-references title against connected land or corporate registries through the iBaaS Gateway rather than accepting a self-attestation. This addresses the capacity-and-title disputes that surface after a founder's death in the paper-based system: the verification happens once, at formation, while evidence is freshest and the founder is available to attest.</w:t>
      </w:r>
    </w:p>
    <w:p>
      <w:pPr>
        <w:pStyle w:val="Heading2"/>
        <w:spacing w:after="120" w:before="280"/>
      </w:pPr>
      <w:r>
        <w:rPr>
          <w:rFonts w:ascii="Georgia" w:cs="Georgia" w:eastAsia="Georgia" w:hAnsi="Georgia"/>
          <w:b/>
          <w:bCs/>
          <w:color w:val="0B0E14"/>
          <w:sz w:val="24"/>
          <w:szCs w:val="24"/>
        </w:rPr>
        <w:t xml:space="preserve">5.3 Mawqūf Tokenisation — Separating Principal from Usufruct</w:t>
      </w:r>
    </w:p>
    <w:p>
      <w:pPr>
        <w:spacing w:after="160" w:line="288"/>
        <w:jc w:val="both"/>
      </w:pPr>
      <w:r>
        <w:rPr>
          <w:rFonts w:ascii="Calibri" w:cs="Calibri" w:eastAsia="Calibri" w:hAnsi="Calibri"/>
          <w:color w:val="1A1D24"/>
          <w:sz w:val="21"/>
          <w:szCs w:val="21"/>
        </w:rPr>
        <w:t xml:space="preserve">The asset itself (raqabah) and its usufruct (manfaʿah) are represented as two distinct token classes on the Core Ledger. The raqabah token is non-transferable by design — it exists only to prove the asset's Shariah status as waqf and can never be bought, sold, or inherited, which is the technical enforcement of inalienability. The manfaʿah token is what circulates: it represents a claim on the income the asset generates, and can be fractionalised so that many beneficiaries, or many co-founders in a corporate waqf, hold a proportionate claim. The relationship is analogous to a strip bond, where the coupon stream is separated from the principal and traded independently — except here the 'principal' can never be redeemed by anyone, at any time, which is precisely the point.</w:t>
      </w:r>
    </w:p>
    <w:p>
      <w:pPr>
        <w:pStyle w:val="Heading2"/>
        <w:spacing w:after="120" w:before="280"/>
      </w:pPr>
      <w:r>
        <w:rPr>
          <w:rFonts w:ascii="Georgia" w:cs="Georgia" w:eastAsia="Georgia" w:hAnsi="Georgia"/>
          <w:b/>
          <w:bCs/>
          <w:color w:val="0B0E14"/>
          <w:sz w:val="24"/>
          <w:szCs w:val="24"/>
        </w:rPr>
        <w:t xml:space="preserve">5.4 Nazir Governance — Multi-Signature Custodianship</w:t>
      </w:r>
    </w:p>
    <w:p>
      <w:pPr>
        <w:spacing w:after="160" w:line="288"/>
        <w:jc w:val="both"/>
      </w:pPr>
      <w:r>
        <w:rPr>
          <w:rFonts w:ascii="Calibri" w:cs="Calibri" w:eastAsia="Calibri" w:hAnsi="Calibri"/>
          <w:color w:val="1A1D24"/>
          <w:sz w:val="21"/>
          <w:szCs w:val="21"/>
        </w:rPr>
        <w:t xml:space="preserve">The single-administrator agency problem is addressed by requiring nazir authority to be exercised through a threshold multi-signature scheme rather than a lone signatory, with signers drawn from a combination of the founder's designated trustees, a RAMZ-accredited Shariah reviewer, and — for institutional waqf — an independent auditor role. Every disbursement, reinvestment (istibdāl, where fiqh-permitted and RAMZ-gated), or change of operating nazir is a signed, ledger-visible event rather than a private administrative decision. This does not eliminate the need for a trusted trustee; it removes the single point of failure by making trustee action observable and requiring consensus for anything irreversible.</w:t>
      </w:r>
    </w:p>
    <w:p>
      <w:pPr>
        <w:pStyle w:val="Heading2"/>
        <w:spacing w:after="120" w:before="280"/>
      </w:pPr>
      <w:r>
        <w:rPr>
          <w:rFonts w:ascii="Georgia" w:cs="Georgia" w:eastAsia="Georgia" w:hAnsi="Georgia"/>
          <w:b/>
          <w:bCs/>
          <w:color w:val="0B0E14"/>
          <w:sz w:val="24"/>
          <w:szCs w:val="24"/>
        </w:rPr>
        <w:t xml:space="preserve">5.5 Mawqūf ʿAlayh Distribution — Automated and Auditable</w:t>
      </w:r>
    </w:p>
    <w:p>
      <w:pPr>
        <w:spacing w:after="160" w:line="288"/>
        <w:jc w:val="both"/>
      </w:pPr>
      <w:r>
        <w:rPr>
          <w:rFonts w:ascii="Calibri" w:cs="Calibri" w:eastAsia="Calibri" w:hAnsi="Calibri"/>
          <w:color w:val="1A1D24"/>
          <w:sz w:val="21"/>
          <w:szCs w:val="21"/>
        </w:rPr>
        <w:t xml:space="preserve">Beneficiary classes are encoded as RAMZ-gated distribution rules attached to the manfaʿah token — for example, a fixed percentage to a named orphanage, a residual to a defined family branch, or a rotating allocation among a public beneficiary class. Distributions execute automatically against verified beneficiary identities in Ummah ID, and every distribution is visible on the ledger to the founder's designated successors, the nazir's co-signers, and, where the founder configured it, the public. This converts beneficiary trust from something asked of donors into something demonstrated to them.</w:t>
      </w:r>
    </w:p>
    <w:p>
      <w:pPr>
        <w:pStyle w:val="Heading2"/>
        <w:spacing w:after="120" w:before="280"/>
      </w:pPr>
      <w:r>
        <w:rPr>
          <w:rFonts w:ascii="Georgia" w:cs="Georgia" w:eastAsia="Georgia" w:hAnsi="Georgia"/>
          <w:b/>
          <w:bCs/>
          <w:color w:val="0B0E14"/>
          <w:sz w:val="24"/>
          <w:szCs w:val="24"/>
        </w:rPr>
        <w:t xml:space="preserve">5.6 RAMZ Compliance Gating</w:t>
      </w:r>
    </w:p>
    <w:p>
      <w:pPr>
        <w:spacing w:after="160" w:line="288"/>
        <w:jc w:val="both"/>
      </w:pPr>
      <w:r>
        <w:rPr>
          <w:rFonts w:ascii="Calibri" w:cs="Calibri" w:eastAsia="Calibri" w:hAnsi="Calibri"/>
          <w:color w:val="1A1D24"/>
          <w:sz w:val="21"/>
          <w:szCs w:val="21"/>
        </w:rPr>
        <w:t xml:space="preserve">RAMZ sits in front of every state transition described above — declaration, tokenisation, nazir action, and distribution — checking each against the madhab-specific ruleset the institution or founder has selected. Falah OS's Community Edition ships with madhab-agnostic defaults; Enterprise Edition deployments can configure sovereign or institutional variations (for instance, differing positions on istibdāl or on waqf for the benefit of non-Muslims) without forking the underlying protocol. RAMZ's role is deliberately narrow: it is a compliance gate, not a fatwa engine, and every ruleset it enforces is configured by a qualified Shariah board before deployment.</w:t>
      </w:r>
    </w:p>
    <w:p>
      <w:pPr>
        <w:pStyle w:val="Heading1"/>
        <w:spacing w:after="200" w:before="480"/>
      </w:pPr>
      <w:r>
        <w:rPr>
          <w:rFonts w:ascii="Georgia" w:cs="Georgia" w:eastAsia="Georgia" w:hAnsi="Georgia"/>
          <w:b/>
          <w:bCs/>
          <w:color w:val="0B0E14"/>
          <w:sz w:val="28"/>
          <w:szCs w:val="28"/>
        </w:rPr>
        <w:t xml:space="preserve">6. Relationship to the Faraid Module</w:t>
      </w:r>
    </w:p>
    <w:p>
      <w:pPr>
        <w:spacing w:after="160" w:line="288"/>
        <w:jc w:val="both"/>
      </w:pPr>
      <w:r>
        <w:rPr>
          <w:rFonts w:ascii="Calibri" w:cs="Calibri" w:eastAsia="Calibri" w:hAnsi="Calibri"/>
          <w:color w:val="1A1D24"/>
          <w:sz w:val="21"/>
          <w:szCs w:val="21"/>
        </w:rPr>
        <w:t xml:space="preserve">Waqf and faraid sit on the same Core Ledger but govern opposite moments in an estate's life. Faraid activates on death, distributing a fixed, Qur'anically mandated share of an estate among living heirs. Waqf activates during the founder's life (or, for a waqf established by will, up to one-third of the estate) and removes an asset from the inheritance pool permanently. A founder using Falah OS can see both modules reference the same underlying asset registry, so that an asset already declared as waqf is automatically excluded from the faraid distribution calculation — a reconciliation that today depends on manual cross-checking between separate waqf and probate administrators, and is a common source of estate disputes.</w:t>
      </w:r>
    </w:p>
    <w:p>
      <w:pPr>
        <w:pStyle w:val="Heading1"/>
        <w:spacing w:after="200" w:before="480"/>
      </w:pPr>
      <w:r>
        <w:rPr>
          <w:rFonts w:ascii="Georgia" w:cs="Georgia" w:eastAsia="Georgia" w:hAnsi="Georgia"/>
          <w:b/>
          <w:bCs/>
          <w:color w:val="0B0E14"/>
          <w:sz w:val="28"/>
          <w:szCs w:val="28"/>
        </w:rPr>
        <w:t xml:space="preserve">7. Use Cases</w:t>
      </w:r>
    </w:p>
    <w:p>
      <w:pPr>
        <w:pStyle w:val="ListParagraph"/>
        <w:numPr>
          <w:ilvl w:val="0"/>
          <w:numId w:val="2"/>
        </w:numPr>
        <w:spacing w:after="90"/>
      </w:pPr>
      <w:r>
        <w:rPr>
          <w:rFonts w:ascii="Calibri" w:cs="Calibri" w:eastAsia="Calibri" w:hAnsi="Calibri"/>
          <w:b/>
          <w:bCs/>
          <w:color w:val="0B0E14"/>
          <w:sz w:val="21"/>
          <w:szCs w:val="21"/>
        </w:rPr>
        <w:t xml:space="preserve">Institutional S&amp;T waqf</w:t>
      </w:r>
      <w:r>
        <w:rPr>
          <w:rFonts w:ascii="Calibri" w:cs="Calibri" w:eastAsia="Calibri" w:hAnsi="Calibri"/>
          <w:color w:val="1A1D24"/>
          <w:sz w:val="21"/>
          <w:szCs w:val="21"/>
        </w:rPr>
        <w:t xml:space="preserve"> — A university or research institute accepts a science-and-technology waqf where donors worldwide hold fractional manfaʿah tokens against a single, large endowed research facility.</w:t>
      </w:r>
    </w:p>
    <w:p>
      <w:pPr>
        <w:pStyle w:val="ListParagraph"/>
        <w:numPr>
          <w:ilvl w:val="0"/>
          <w:numId w:val="2"/>
        </w:numPr>
        <w:spacing w:after="90"/>
      </w:pPr>
      <w:r>
        <w:rPr>
          <w:rFonts w:ascii="Calibri" w:cs="Calibri" w:eastAsia="Calibri" w:hAnsi="Calibri"/>
          <w:b/>
          <w:bCs/>
          <w:color w:val="0B0E14"/>
          <w:sz w:val="21"/>
          <w:szCs w:val="21"/>
        </w:rPr>
        <w:t xml:space="preserve">Cash waqf-linked sukuk</w:t>
      </w:r>
      <w:r>
        <w:rPr>
          <w:rFonts w:ascii="Calibri" w:cs="Calibri" w:eastAsia="Calibri" w:hAnsi="Calibri"/>
          <w:color w:val="1A1D24"/>
          <w:sz w:val="21"/>
          <w:szCs w:val="21"/>
        </w:rPr>
        <w:t xml:space="preserve"> — A sovereign or state waqf authority issues sukuk against pooled cash waqf, with the Core Ledger providing the audit trail linking sukuk proceeds to specific social-infrastructure disbursements.</w:t>
      </w:r>
    </w:p>
    <w:p>
      <w:pPr>
        <w:pStyle w:val="ListParagraph"/>
        <w:numPr>
          <w:ilvl w:val="0"/>
          <w:numId w:val="2"/>
        </w:numPr>
        <w:spacing w:after="90"/>
      </w:pPr>
      <w:r>
        <w:rPr>
          <w:rFonts w:ascii="Calibri" w:cs="Calibri" w:eastAsia="Calibri" w:hAnsi="Calibri"/>
          <w:b/>
          <w:bCs/>
          <w:color w:val="0B0E14"/>
          <w:sz w:val="21"/>
          <w:szCs w:val="21"/>
        </w:rPr>
        <w:t xml:space="preserve">Waqf land registry integration</w:t>
      </w:r>
      <w:r>
        <w:rPr>
          <w:rFonts w:ascii="Calibri" w:cs="Calibri" w:eastAsia="Calibri" w:hAnsi="Calibri"/>
          <w:color w:val="1A1D24"/>
          <w:sz w:val="21"/>
          <w:szCs w:val="21"/>
        </w:rPr>
        <w:t xml:space="preserve"> — State or federal waqf land registries adopt the Core Ledger as a shared, tamper-evident record layer beneath their existing property databases, addressing title fragmentation without replacing sovereign land authorities.</w:t>
      </w:r>
    </w:p>
    <w:p>
      <w:pPr>
        <w:pStyle w:val="ListParagraph"/>
        <w:numPr>
          <w:ilvl w:val="0"/>
          <w:numId w:val="2"/>
        </w:numPr>
        <w:spacing w:after="90"/>
      </w:pPr>
      <w:r>
        <w:rPr>
          <w:rFonts w:ascii="Calibri" w:cs="Calibri" w:eastAsia="Calibri" w:hAnsi="Calibri"/>
          <w:b/>
          <w:bCs/>
          <w:color w:val="0B0E14"/>
          <w:sz w:val="21"/>
          <w:szCs w:val="21"/>
        </w:rPr>
        <w:t xml:space="preserve">Cross-border diaspora waqf</w:t>
      </w:r>
      <w:r>
        <w:rPr>
          <w:rFonts w:ascii="Calibri" w:cs="Calibri" w:eastAsia="Calibri" w:hAnsi="Calibri"/>
          <w:color w:val="1A1D24"/>
          <w:sz w:val="21"/>
          <w:szCs w:val="21"/>
        </w:rPr>
        <w:t xml:space="preserve"> — A diaspora founder in London establishes and monitors a family or public waqf in Malaysia or Indonesia end-to-end through Ummah ID, without a physical deed changing hands.</w:t>
      </w:r>
    </w:p>
    <w:p>
      <w:pPr>
        <w:pStyle w:val="Heading1"/>
        <w:spacing w:after="200" w:before="480"/>
      </w:pPr>
      <w:r>
        <w:rPr>
          <w:rFonts w:ascii="Georgia" w:cs="Georgia" w:eastAsia="Georgia" w:hAnsi="Georgia"/>
          <w:b/>
          <w:bCs/>
          <w:color w:val="0B0E14"/>
          <w:sz w:val="28"/>
          <w:szCs w:val="28"/>
        </w:rPr>
        <w:t xml:space="preserve">8. Risk, Governance, and Open Questions</w:t>
      </w:r>
    </w:p>
    <w:p>
      <w:pPr>
        <w:spacing w:after="160" w:line="288"/>
        <w:jc w:val="both"/>
      </w:pPr>
      <w:r>
        <w:rPr>
          <w:rFonts w:ascii="Calibri" w:cs="Calibri" w:eastAsia="Calibri" w:hAnsi="Calibri"/>
          <w:color w:val="1A1D24"/>
          <w:sz w:val="21"/>
          <w:szCs w:val="21"/>
        </w:rPr>
        <w:t xml:space="preserve">Tokenisation resolves administrative and liquidity friction; it does not resolve fiqh disagreement, and the Waqif Mechanism is not designed to. Several questions remain genuinely open and are flagged here rather than papered over, consistent with the 2021 OIC Fiqh Academy resolution's conditional (not blanket) permission for tokenisation:</w:t>
      </w:r>
    </w:p>
    <w:p>
      <w:pPr>
        <w:pStyle w:val="ListParagraph"/>
        <w:numPr>
          <w:ilvl w:val="0"/>
          <w:numId w:val="2"/>
        </w:numPr>
        <w:spacing w:after="90"/>
      </w:pPr>
      <w:r>
        <w:rPr>
          <w:rFonts w:ascii="Calibri" w:cs="Calibri" w:eastAsia="Calibri" w:hAnsi="Calibri"/>
          <w:b/>
          <w:bCs/>
          <w:color w:val="0B0E14"/>
          <w:sz w:val="21"/>
          <w:szCs w:val="21"/>
        </w:rPr>
        <w:t xml:space="preserve">Secondary transfer of manfaʿah</w:t>
      </w:r>
      <w:r>
        <w:rPr>
          <w:rFonts w:ascii="Calibri" w:cs="Calibri" w:eastAsia="Calibri" w:hAnsi="Calibri"/>
          <w:color w:val="1A1D24"/>
          <w:sz w:val="21"/>
          <w:szCs w:val="21"/>
        </w:rPr>
        <w:t xml:space="preserve"> — Whether a manfaʿah token, once transferred among beneficiaries, retains the same Shariah status as the original beneficiary designation, or constitutes a new contract requiring fresh RAMZ review — positions differ by madhab.</w:t>
      </w:r>
    </w:p>
    <w:p>
      <w:pPr>
        <w:pStyle w:val="ListParagraph"/>
        <w:numPr>
          <w:ilvl w:val="0"/>
          <w:numId w:val="2"/>
        </w:numPr>
        <w:spacing w:after="90"/>
      </w:pPr>
      <w:r>
        <w:rPr>
          <w:rFonts w:ascii="Calibri" w:cs="Calibri" w:eastAsia="Calibri" w:hAnsi="Calibri"/>
          <w:b/>
          <w:bCs/>
          <w:color w:val="0B0E14"/>
          <w:sz w:val="21"/>
          <w:szCs w:val="21"/>
        </w:rPr>
        <w:t xml:space="preserve">Key custody as trustee risk</w:t>
      </w:r>
      <w:r>
        <w:rPr>
          <w:rFonts w:ascii="Calibri" w:cs="Calibri" w:eastAsia="Calibri" w:hAnsi="Calibri"/>
          <w:color w:val="1A1D24"/>
          <w:sz w:val="21"/>
          <w:szCs w:val="21"/>
        </w:rPr>
        <w:t xml:space="preserve"> — Custody of the private keys controlling nazir multi-signature authority is itself a governance decision with real operational risk; Falah OS treats this as a sovereign or institutional configuration choice, not a protocol default.</w:t>
      </w:r>
    </w:p>
    <w:p>
      <w:pPr>
        <w:pStyle w:val="ListParagraph"/>
        <w:numPr>
          <w:ilvl w:val="0"/>
          <w:numId w:val="2"/>
        </w:numPr>
        <w:spacing w:after="90"/>
      </w:pPr>
      <w:r>
        <w:rPr>
          <w:rFonts w:ascii="Calibri" w:cs="Calibri" w:eastAsia="Calibri" w:hAnsi="Calibri"/>
          <w:b/>
          <w:bCs/>
          <w:color w:val="0B0E14"/>
          <w:sz w:val="21"/>
          <w:szCs w:val="21"/>
        </w:rPr>
        <w:t xml:space="preserve">Jurisdictional recognition</w:t>
      </w:r>
      <w:r>
        <w:rPr>
          <w:rFonts w:ascii="Calibri" w:cs="Calibri" w:eastAsia="Calibri" w:hAnsi="Calibri"/>
          <w:color w:val="1A1D24"/>
          <w:sz w:val="21"/>
          <w:szCs w:val="21"/>
        </w:rPr>
        <w:t xml:space="preserve"> — Cross-border enforceability of a ledger-recorded ṣīghah depends on host-jurisdiction recognition of electronic instruments for waqf formation, which varies and is outside Falah OS's control.</w:t>
      </w:r>
    </w:p>
    <w:p>
      <w:pPr>
        <w:pStyle w:val="Heading1"/>
        <w:spacing w:after="200" w:before="480"/>
      </w:pPr>
      <w:r>
        <w:rPr>
          <w:rFonts w:ascii="Georgia" w:cs="Georgia" w:eastAsia="Georgia" w:hAnsi="Georgia"/>
          <w:b/>
          <w:bCs/>
          <w:color w:val="0B0E14"/>
          <w:sz w:val="28"/>
          <w:szCs w:val="28"/>
        </w:rPr>
        <w:t xml:space="preserve">9. Roadmap</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0B0E14" w:color="auto" w:val="clear"/>
            <w:tcMar>
              <w:top w:type="dxa" w:w="100"/>
              <w:left w:type="dxa" w:w="120"/>
              <w:bottom w:type="dxa" w:w="100"/>
              <w:right w:type="dxa" w:w="120"/>
            </w:tcMar>
          </w:tcPr>
          <w:p>
            <w:r>
              <w:rPr>
                <w:rFonts w:ascii="Calibri" w:cs="Calibri" w:eastAsia="Calibri" w:hAnsi="Calibri"/>
                <w:b/>
                <w:bCs/>
                <w:color w:val="FFFFFF"/>
                <w:sz w:val="19"/>
                <w:szCs w:val="19"/>
              </w:rPr>
              <w:t xml:space="preserve">Phase</w:t>
            </w:r>
          </w:p>
        </w:tc>
        <w:tc>
          <w:tcPr>
            <w:tcW w:type="dxa" w:w="6400"/>
            <w:shd w:fill="0B0E14" w:color="auto" w:val="clear"/>
            <w:tcMar>
              <w:top w:type="dxa" w:w="100"/>
              <w:left w:type="dxa" w:w="120"/>
              <w:bottom w:type="dxa" w:w="100"/>
              <w:right w:type="dxa" w:w="120"/>
            </w:tcMar>
          </w:tcPr>
          <w:p>
            <w:r>
              <w:rPr>
                <w:rFonts w:ascii="Calibri" w:cs="Calibri" w:eastAsia="Calibri" w:hAnsi="Calibri"/>
                <w:b/>
                <w:bCs/>
                <w:color w:val="FFFFFF"/>
                <w:sz w:val="19"/>
                <w:szCs w:val="19"/>
              </w:rPr>
              <w:t xml:space="preserve">Scope</w:t>
            </w:r>
          </w:p>
        </w:tc>
      </w:tr>
      <w:tr>
        <w:tc>
          <w:tcPr>
            <w:tcW w:type="dxa" w:w="2600"/>
            <w:tcMar>
              <w:top w:type="dxa" w:w="100"/>
              <w:left w:type="dxa" w:w="120"/>
              <w:bottom w:type="dxa" w:w="100"/>
              <w:right w:type="dxa" w:w="120"/>
            </w:tcMar>
          </w:tcPr>
          <w:p>
            <w:r>
              <w:rPr>
                <w:rFonts w:ascii="Calibri" w:cs="Calibri" w:eastAsia="Calibri" w:hAnsi="Calibri"/>
                <w:b w:val="false"/>
                <w:bCs w:val="false"/>
                <w:color w:val="1A1D24"/>
                <w:sz w:val="19"/>
                <w:szCs w:val="19"/>
              </w:rPr>
              <w:t xml:space="preserve">Phase 1 — Specification &amp; Shariah Review</w:t>
            </w:r>
          </w:p>
        </w:tc>
        <w:tc>
          <w:tcPr>
            <w:tcW w:type="dxa" w:w="6400"/>
            <w:tcMar>
              <w:top w:type="dxa" w:w="100"/>
              <w:left w:type="dxa" w:w="120"/>
              <w:bottom w:type="dxa" w:w="100"/>
              <w:right w:type="dxa" w:w="120"/>
            </w:tcMar>
          </w:tcPr>
          <w:p>
            <w:r>
              <w:rPr>
                <w:rFonts w:ascii="Calibri" w:cs="Calibri" w:eastAsia="Calibri" w:hAnsi="Calibri"/>
                <w:b w:val="false"/>
                <w:bCs w:val="false"/>
                <w:color w:val="1A1D24"/>
                <w:sz w:val="19"/>
                <w:szCs w:val="19"/>
              </w:rPr>
              <w:t xml:space="preserve">Formal fiqh sign-off on the ṣīghah, tokenisation, and istibdāl logic described above, by RAMZ-accredited scholars across at least two madhahib.</w:t>
            </w:r>
          </w:p>
        </w:tc>
      </w:tr>
      <w:tr>
        <w:tc>
          <w:tcPr>
            <w:tcW w:type="dxa" w:w="26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Phase 2 — Pilot Deployment</w:t>
            </w:r>
          </w:p>
        </w:tc>
        <w:tc>
          <w:tcPr>
            <w:tcW w:type="dxa" w:w="64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Single-institution pilot (cash waqf or S&amp;T endowment) on Community Edition, integrated with an existing state waqf registry via iBaaS Gateway.</w:t>
            </w:r>
          </w:p>
        </w:tc>
      </w:tr>
      <w:tr>
        <w:tc>
          <w:tcPr>
            <w:tcW w:type="dxa" w:w="2600"/>
            <w:tcMar>
              <w:top w:type="dxa" w:w="100"/>
              <w:left w:type="dxa" w:w="120"/>
              <w:bottom w:type="dxa" w:w="100"/>
              <w:right w:type="dxa" w:w="120"/>
            </w:tcMar>
          </w:tcPr>
          <w:p>
            <w:r>
              <w:rPr>
                <w:rFonts w:ascii="Calibri" w:cs="Calibri" w:eastAsia="Calibri" w:hAnsi="Calibri"/>
                <w:b w:val="false"/>
                <w:bCs w:val="false"/>
                <w:color w:val="1A1D24"/>
                <w:sz w:val="19"/>
                <w:szCs w:val="19"/>
              </w:rPr>
              <w:t xml:space="preserve">Phase 3 — Multi-Sovereign Configuration</w:t>
            </w:r>
          </w:p>
        </w:tc>
        <w:tc>
          <w:tcPr>
            <w:tcW w:type="dxa" w:w="6400"/>
            <w:tcMar>
              <w:top w:type="dxa" w:w="100"/>
              <w:left w:type="dxa" w:w="120"/>
              <w:bottom w:type="dxa" w:w="100"/>
              <w:right w:type="dxa" w:w="120"/>
            </w:tcMar>
          </w:tcPr>
          <w:p>
            <w:r>
              <w:rPr>
                <w:rFonts w:ascii="Calibri" w:cs="Calibri" w:eastAsia="Calibri" w:hAnsi="Calibri"/>
                <w:b w:val="false"/>
                <w:bCs w:val="false"/>
                <w:color w:val="1A1D24"/>
                <w:sz w:val="19"/>
                <w:szCs w:val="19"/>
              </w:rPr>
              <w:t xml:space="preserve">Enterprise Edition deployments with jurisdiction-specific RAMZ rulesets, alongside the existing Faraid and RENTAS beachhead use cases.</w:t>
            </w:r>
          </w:p>
        </w:tc>
      </w:tr>
      <w:tr>
        <w:tc>
          <w:tcPr>
            <w:tcW w:type="dxa" w:w="26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Phase 4 — Cross-Module Reconciliation</w:t>
            </w:r>
          </w:p>
        </w:tc>
        <w:tc>
          <w:tcPr>
            <w:tcW w:type="dxa" w:w="6400"/>
            <w:shd w:fill="F2F1EC" w:color="auto" w:val="clear"/>
            <w:tcMar>
              <w:top w:type="dxa" w:w="100"/>
              <w:left w:type="dxa" w:w="120"/>
              <w:bottom w:type="dxa" w:w="100"/>
              <w:right w:type="dxa" w:w="120"/>
            </w:tcMar>
          </w:tcPr>
          <w:p>
            <w:r>
              <w:rPr>
                <w:rFonts w:ascii="Calibri" w:cs="Calibri" w:eastAsia="Calibri" w:hAnsi="Calibri"/>
                <w:b w:val="false"/>
                <w:bCs w:val="false"/>
                <w:color w:val="1A1D24"/>
                <w:sz w:val="19"/>
                <w:szCs w:val="19"/>
              </w:rPr>
              <w:t xml:space="preserve">General availability of automatic waqf/faraid asset-pool reconciliation across the Core Ledger.</w:t>
            </w:r>
          </w:p>
        </w:tc>
      </w:tr>
    </w:tbl>
    <w:p>
      <w:pPr>
        <w:pStyle w:val="Heading1"/>
        <w:spacing w:after="200" w:before="480"/>
      </w:pPr>
      <w:r>
        <w:rPr>
          <w:rFonts w:ascii="Georgia" w:cs="Georgia" w:eastAsia="Georgia" w:hAnsi="Georgia"/>
          <w:b/>
          <w:bCs/>
          <w:color w:val="0B0E14"/>
          <w:sz w:val="28"/>
          <w:szCs w:val="28"/>
        </w:rPr>
        <w:t xml:space="preserve">10. Conclusion</w:t>
      </w:r>
    </w:p>
    <w:p>
      <w:pPr>
        <w:spacing w:after="160" w:line="288"/>
        <w:jc w:val="both"/>
      </w:pPr>
      <w:r>
        <w:rPr>
          <w:rFonts w:ascii="Calibri" w:cs="Calibri" w:eastAsia="Calibri" w:hAnsi="Calibri"/>
          <w:color w:val="1A1D24"/>
          <w:sz w:val="21"/>
          <w:szCs w:val="21"/>
        </w:rPr>
        <w:t xml:space="preserve">Waqf does not need to be reinvented; it needs infrastructure equal to its ambitions. The institution has survived fourteen centuries on the strength of a legal architecture — four pillars, three protections — that long predates the nation-state, let alone the blockchain. The Waqif Mechanism's claim is a narrow one: that each of those four pillars can be represented as a distinct, independently verifiable object on a shared ledger, gated by compliance logic a Shariah board configures and controls, without altering what makes a waqf a waqf. If that claim holds under review, the constraint on the trillion-dollar waqf sector stops being trust in a distant custodian, and starts being simply how many institutions choose to connect.</w:t>
      </w:r>
    </w:p>
    <w:p>
      <w:r>
        <w:br w:type="page"/>
      </w:r>
    </w:p>
    <w:p>
      <w:pPr>
        <w:pStyle w:val="Heading1"/>
        <w:spacing w:after="200" w:before="480"/>
      </w:pPr>
      <w:r>
        <w:rPr>
          <w:rFonts w:ascii="Georgia" w:cs="Georgia" w:eastAsia="Georgia" w:hAnsi="Georgia"/>
          <w:b/>
          <w:bCs/>
          <w:color w:val="0B0E14"/>
          <w:sz w:val="28"/>
          <w:szCs w:val="28"/>
        </w:rPr>
        <w:t xml:space="preserve">References</w:t>
      </w:r>
    </w:p>
    <w:p>
      <w:pPr>
        <w:spacing w:after="120" w:line="264"/>
        <w:ind w:left="360" w:hanging="360"/>
      </w:pPr>
      <w:r>
        <w:rPr>
          <w:rFonts w:ascii="Calibri" w:cs="Calibri" w:eastAsia="Calibri" w:hAnsi="Calibri"/>
          <w:color w:val="2B2F38"/>
          <w:sz w:val="19"/>
          <w:szCs w:val="19"/>
        </w:rPr>
        <w:t xml:space="preserve">Karim, S., &amp; Zadjali, F. A. (2025). Smart Waqf Governance: Leveraging Blockchain, AI, and Fintech for Science and Technology Endowments in the Digital Era. Proceeding of International Conference on Pesantren (ICOP).</w:t>
      </w:r>
    </w:p>
    <w:p>
      <w:pPr>
        <w:spacing w:after="120" w:line="264"/>
        <w:ind w:left="360" w:hanging="360"/>
      </w:pPr>
      <w:r>
        <w:rPr>
          <w:rFonts w:ascii="Calibri" w:cs="Calibri" w:eastAsia="Calibri" w:hAnsi="Calibri"/>
          <w:color w:val="2B2F38"/>
          <w:sz w:val="19"/>
          <w:szCs w:val="19"/>
        </w:rPr>
        <w:t xml:space="preserve">Mohsin, M. I. A. (2019). Waqfintech and Sustainable Socio-Economic Development. International Journal of Management and Applied Research, 6(3).</w:t>
      </w:r>
    </w:p>
    <w:p>
      <w:pPr>
        <w:spacing w:after="120" w:line="264"/>
        <w:ind w:left="360" w:hanging="360"/>
      </w:pPr>
      <w:r>
        <w:rPr>
          <w:rFonts w:ascii="Calibri" w:cs="Calibri" w:eastAsia="Calibri" w:hAnsi="Calibri"/>
          <w:color w:val="2B2F38"/>
          <w:sz w:val="19"/>
          <w:szCs w:val="19"/>
        </w:rPr>
        <w:t xml:space="preserve">Rashid, S. K. (2018). Blockchain and Waqf: The Case of the Finterra WAQFChain Platform. Finterra.</w:t>
      </w:r>
    </w:p>
    <w:p>
      <w:pPr>
        <w:spacing w:after="120" w:line="264"/>
        <w:ind w:left="360" w:hanging="360"/>
      </w:pPr>
      <w:r>
        <w:rPr>
          <w:rFonts w:ascii="Calibri" w:cs="Calibri" w:eastAsia="Calibri" w:hAnsi="Calibri"/>
          <w:color w:val="2B2F38"/>
          <w:sz w:val="19"/>
          <w:szCs w:val="19"/>
        </w:rPr>
        <w:t xml:space="preserve">Elmahgop, A. et al. (2022). Addressing Accountability and Transparency Challenges in Waqf Management Using Blockchain Technology. Journal of Islamic Monetary Economics and Finance, 8, 53–80.</w:t>
      </w:r>
    </w:p>
    <w:p>
      <w:pPr>
        <w:spacing w:after="120" w:line="264"/>
        <w:ind w:left="360" w:hanging="360"/>
      </w:pPr>
      <w:r>
        <w:rPr>
          <w:rFonts w:ascii="Calibri" w:cs="Calibri" w:eastAsia="Calibri" w:hAnsi="Calibri"/>
          <w:color w:val="2B2F38"/>
          <w:sz w:val="19"/>
          <w:szCs w:val="19"/>
        </w:rPr>
        <w:t xml:space="preserve">European Journal of Islamic Finance (2026). The Waqf (Ḥubus): a Millennial Institution between Canonical Inalienability, Governance Crisis and FinTech Revival for Sustainable Development.</w:t>
      </w:r>
    </w:p>
    <w:p>
      <w:pPr>
        <w:spacing w:after="120" w:line="264"/>
        <w:ind w:left="360" w:hanging="360"/>
      </w:pPr>
      <w:r>
        <w:rPr>
          <w:rFonts w:ascii="Calibri" w:cs="Calibri" w:eastAsia="Calibri" w:hAnsi="Calibri"/>
          <w:color w:val="2B2F38"/>
          <w:sz w:val="19"/>
          <w:szCs w:val="19"/>
        </w:rPr>
        <w:t xml:space="preserve">Kuran, T. (2011). The Long Divergence: How Islamic Law Held Back the Middle East. Princeton University Press.</w:t>
      </w:r>
    </w:p>
    <w:p>
      <w:pPr>
        <w:spacing w:after="120" w:line="264"/>
        <w:ind w:left="360" w:hanging="360"/>
      </w:pPr>
      <w:r>
        <w:rPr>
          <w:rFonts w:ascii="Calibri" w:cs="Calibri" w:eastAsia="Calibri" w:hAnsi="Calibri"/>
          <w:color w:val="2B2F38"/>
          <w:sz w:val="19"/>
          <w:szCs w:val="19"/>
        </w:rPr>
        <w:t xml:space="preserve">OIC Fiqh Academy (2021). Resolution on Tokenization of Waqf Assets. Organisation of Islamic Cooperation.</w:t>
      </w:r>
    </w:p>
    <w:p>
      <w:pPr>
        <w:spacing w:after="120" w:line="264"/>
        <w:ind w:left="360" w:hanging="360"/>
      </w:pPr>
      <w:r>
        <w:rPr>
          <w:rFonts w:ascii="Calibri" w:cs="Calibri" w:eastAsia="Calibri" w:hAnsi="Calibri"/>
          <w:color w:val="2B2F38"/>
          <w:sz w:val="19"/>
          <w:szCs w:val="19"/>
        </w:rPr>
        <w:t xml:space="preserve">Abdullah, M. (2019). Waqf and Trust: The Nature, Structure and Socio-Economic Impact.</w:t>
      </w:r>
    </w:p>
    <w:p>
      <w:pPr>
        <w:spacing w:after="120" w:line="264"/>
        <w:ind w:left="360" w:hanging="360"/>
      </w:pPr>
      <w:r>
        <w:rPr>
          <w:rFonts w:ascii="Calibri" w:cs="Calibri" w:eastAsia="Calibri" w:hAnsi="Calibri"/>
          <w:color w:val="2B2F38"/>
          <w:sz w:val="19"/>
          <w:szCs w:val="19"/>
        </w:rPr>
        <w:t xml:space="preserve">International Journal of Research and Innovation in Social Science (2025). Reimagining Waqf in the Digital Age: A Framework for Smart Waqf Governance Through Emerging Technologies.</w:t>
      </w:r>
    </w:p>
    <w:p>
      <w:pPr>
        <w:spacing w:after="120" w:line="264"/>
        <w:ind w:left="360" w:hanging="360"/>
      </w:pPr>
      <w:r>
        <w:rPr>
          <w:rFonts w:ascii="Calibri" w:cs="Calibri" w:eastAsia="Calibri" w:hAnsi="Calibri"/>
          <w:color w:val="2B2F38"/>
          <w:sz w:val="19"/>
          <w:szCs w:val="19"/>
        </w:rPr>
        <w:t xml:space="preserve">Falah OS™ (2026). Faraid Tokenisation Whitepaper — companion module specification.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5F6B"/>
        <w:sz w:val="16"/>
        <w:szCs w:val="16"/>
      </w:rPr>
      <w:t xml:space="preserve">Page </w:t>
    </w:r>
    <w:r>
      <w:rPr>
        <w:color w:val="5A5F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4"/>
      </w:pBdr>
      <w:jc w:val="right"/>
    </w:pPr>
    <w:r>
      <w:rPr>
        <w:rFonts w:ascii="Calibri" w:cs="Calibri" w:eastAsia="Calibri" w:hAnsi="Calibri"/>
        <w:color w:val="5A5F6B"/>
        <w:sz w:val="16"/>
        <w:szCs w:val="16"/>
      </w:rPr>
      <w:t xml:space="preserve">FALAH OS — THE WAQIF MECHANISM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4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2026-08-10T14:22:16.017Z</dcterms:created>
  <dcterms:modified xsi:type="dcterms:W3CDTF">2026-08-10T14:22:16.029Z</dcterms:modified>
</cp:coreProperties>
</file>

<file path=docProps/custom.xml><?xml version="1.0" encoding="utf-8"?>
<Properties xmlns="http://schemas.openxmlformats.org/officeDocument/2006/custom-properties" xmlns:vt="http://schemas.openxmlformats.org/officeDocument/2006/docPropsVTypes"/>
</file>